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8E514" w14:textId="13F37310" w:rsidR="007E6B96" w:rsidRPr="00633C13" w:rsidRDefault="00FF65A9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633C13">
        <w:rPr>
          <w:rFonts w:ascii="Arial" w:eastAsia="Arial" w:hAnsi="Arial" w:cs="Arial"/>
          <w:b/>
          <w:bCs/>
          <w:sz w:val="22"/>
          <w:szCs w:val="22"/>
        </w:rPr>
        <w:t>Pakiet nr 8</w:t>
      </w:r>
      <w:r w:rsidR="009647C3">
        <w:rPr>
          <w:rFonts w:ascii="Arial" w:eastAsia="Arial" w:hAnsi="Arial" w:cs="Arial"/>
          <w:b/>
          <w:bCs/>
          <w:sz w:val="22"/>
          <w:szCs w:val="22"/>
        </w:rPr>
        <w:tab/>
      </w:r>
      <w:r w:rsidR="009647C3">
        <w:rPr>
          <w:rFonts w:ascii="Arial" w:eastAsia="Arial" w:hAnsi="Arial" w:cs="Arial"/>
          <w:b/>
          <w:bCs/>
          <w:sz w:val="22"/>
          <w:szCs w:val="22"/>
        </w:rPr>
        <w:tab/>
      </w:r>
      <w:r w:rsidR="009647C3">
        <w:rPr>
          <w:rFonts w:ascii="Arial" w:eastAsia="Arial" w:hAnsi="Arial" w:cs="Arial"/>
          <w:b/>
          <w:bCs/>
          <w:sz w:val="22"/>
          <w:szCs w:val="22"/>
        </w:rPr>
        <w:tab/>
      </w:r>
      <w:r w:rsidR="009647C3">
        <w:rPr>
          <w:rFonts w:ascii="Arial" w:eastAsia="Arial" w:hAnsi="Arial" w:cs="Arial"/>
          <w:b/>
          <w:bCs/>
          <w:sz w:val="22"/>
          <w:szCs w:val="22"/>
        </w:rPr>
        <w:tab/>
      </w:r>
      <w:r w:rsidR="009647C3">
        <w:rPr>
          <w:rFonts w:ascii="Arial" w:eastAsia="Arial" w:hAnsi="Arial" w:cs="Arial"/>
          <w:b/>
          <w:bCs/>
          <w:sz w:val="22"/>
          <w:szCs w:val="22"/>
        </w:rPr>
        <w:tab/>
      </w:r>
      <w:r w:rsidR="009647C3">
        <w:rPr>
          <w:rFonts w:ascii="Arial" w:eastAsia="Arial" w:hAnsi="Arial" w:cs="Arial"/>
          <w:b/>
          <w:bCs/>
          <w:sz w:val="22"/>
          <w:szCs w:val="22"/>
        </w:rPr>
        <w:tab/>
      </w:r>
      <w:r w:rsidR="009647C3">
        <w:rPr>
          <w:rFonts w:ascii="Arial" w:eastAsia="Arial" w:hAnsi="Arial" w:cs="Arial"/>
          <w:b/>
          <w:bCs/>
          <w:sz w:val="22"/>
          <w:szCs w:val="22"/>
        </w:rPr>
        <w:tab/>
      </w:r>
      <w:r w:rsidR="009647C3">
        <w:rPr>
          <w:rFonts w:ascii="Arial" w:eastAsia="Arial" w:hAnsi="Arial" w:cs="Arial"/>
          <w:b/>
          <w:bCs/>
          <w:sz w:val="22"/>
          <w:szCs w:val="22"/>
        </w:rPr>
        <w:tab/>
      </w:r>
      <w:r w:rsidR="009647C3" w:rsidRPr="006D7EE0">
        <w:rPr>
          <w:rFonts w:ascii="Arial" w:eastAsia="Arial" w:hAnsi="Arial" w:cs="Arial"/>
          <w:b/>
          <w:bCs/>
          <w:color w:val="FF0000"/>
          <w:sz w:val="22"/>
          <w:szCs w:val="22"/>
          <w:highlight w:val="yellow"/>
        </w:rPr>
        <w:t>ZMIANA I 2018-04-27</w:t>
      </w:r>
    </w:p>
    <w:p w14:paraId="01C6C7F1" w14:textId="77777777" w:rsidR="007E6B96" w:rsidRPr="00633C13" w:rsidRDefault="007E6B96" w:rsidP="007E6B96">
      <w:pPr>
        <w:rPr>
          <w:rFonts w:ascii="Arial" w:hAnsi="Arial" w:cs="Arial"/>
          <w:sz w:val="22"/>
          <w:szCs w:val="22"/>
        </w:rPr>
      </w:pPr>
      <w:r w:rsidRPr="00633C13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14:paraId="672A6659" w14:textId="77777777" w:rsidR="007E6B96" w:rsidRPr="00633C13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4AE8B9D" w14:textId="77777777" w:rsidR="007E6B96" w:rsidRPr="00633C13" w:rsidRDefault="007E6B96" w:rsidP="007E6B96">
      <w:pPr>
        <w:rPr>
          <w:rFonts w:ascii="Arial" w:hAnsi="Arial" w:cs="Arial"/>
          <w:sz w:val="22"/>
          <w:szCs w:val="22"/>
        </w:rPr>
      </w:pPr>
      <w:r w:rsidRPr="00633C13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14:paraId="28E5D422" w14:textId="77777777" w:rsidR="007E6B96" w:rsidRPr="00633C13" w:rsidRDefault="007E6B96" w:rsidP="007E6B96">
      <w:pPr>
        <w:rPr>
          <w:rFonts w:ascii="Arial" w:hAnsi="Arial" w:cs="Arial"/>
          <w:sz w:val="22"/>
          <w:szCs w:val="22"/>
        </w:rPr>
      </w:pPr>
      <w:r w:rsidRPr="00633C13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14:paraId="29D6B04F" w14:textId="77777777" w:rsidR="006362B0" w:rsidRPr="00633C13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633C13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D8E68A7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  <w:r w:rsidRPr="00633C13">
        <w:rPr>
          <w:rFonts w:ascii="Arial" w:hAnsi="Arial" w:cs="Arial"/>
          <w:b/>
          <w:bCs/>
          <w:sz w:val="22"/>
          <w:szCs w:val="22"/>
        </w:rPr>
        <w:t xml:space="preserve">Pompy </w:t>
      </w:r>
      <w:proofErr w:type="spellStart"/>
      <w:r w:rsidRPr="00633C13">
        <w:rPr>
          <w:rFonts w:ascii="Arial" w:hAnsi="Arial" w:cs="Arial"/>
          <w:b/>
          <w:bCs/>
          <w:sz w:val="22"/>
          <w:szCs w:val="22"/>
        </w:rPr>
        <w:t>strzykawkowe</w:t>
      </w:r>
      <w:proofErr w:type="spellEnd"/>
      <w:r w:rsidRPr="00633C13">
        <w:rPr>
          <w:rFonts w:ascii="Arial" w:hAnsi="Arial" w:cs="Arial"/>
          <w:b/>
          <w:bCs/>
          <w:sz w:val="22"/>
          <w:szCs w:val="22"/>
        </w:rPr>
        <w:t xml:space="preserve"> 32szt.</w:t>
      </w:r>
    </w:p>
    <w:p w14:paraId="0A37501D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A86849" w:rsidRPr="00633C13" w14:paraId="304A60A5" w14:textId="77777777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CA8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4689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6C7B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849" w:rsidRPr="00633C13" w14:paraId="200485DB" w14:textId="77777777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2609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346F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378F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849" w:rsidRPr="00633C13" w14:paraId="09B8C372" w14:textId="77777777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D03D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A2D6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809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849" w:rsidRPr="00633C13" w14:paraId="6A09CB94" w14:textId="77777777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6C85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F866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BE3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8F396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72A3D3EC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0D0B940D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711CF245" w14:textId="77777777" w:rsidR="00A86849" w:rsidRPr="00633C13" w:rsidRDefault="00A86849" w:rsidP="00A86849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633C13">
        <w:rPr>
          <w:rFonts w:ascii="Arial" w:hAnsi="Arial" w:cs="Arial"/>
          <w:b/>
          <w:bCs/>
          <w:sz w:val="22"/>
          <w:szCs w:val="22"/>
        </w:rPr>
        <w:br/>
      </w:r>
      <w:r w:rsidRPr="00633C13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14:paraId="0962CFE0" w14:textId="1CAC6A29" w:rsidR="00DC7456" w:rsidRPr="004F6460" w:rsidRDefault="00A86849" w:rsidP="00DC7456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633C13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633C13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DC7456" w:rsidRPr="00DC745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DC7456" w:rsidRPr="004F6460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="00DC7456" w:rsidRPr="004F6460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="00DC7456" w:rsidRPr="004F6460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="00DC7456" w:rsidRPr="004F6460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14:paraId="2ECD7FCB" w14:textId="77777777" w:rsidR="00DC7456" w:rsidRPr="00DC7456" w:rsidRDefault="00DC7456" w:rsidP="00DC7456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DC7456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DC7456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DC7456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14:paraId="5F3C8145" w14:textId="200D5649" w:rsidR="00A86849" w:rsidRPr="00633C13" w:rsidRDefault="00A86849" w:rsidP="00A86849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p w14:paraId="3AB3EAB0" w14:textId="77777777" w:rsidR="00642F6F" w:rsidRPr="00633C13" w:rsidRDefault="00642F6F" w:rsidP="00A86849">
      <w:pPr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846"/>
        <w:gridCol w:w="3186"/>
        <w:gridCol w:w="2136"/>
        <w:gridCol w:w="1763"/>
        <w:gridCol w:w="1764"/>
      </w:tblGrid>
      <w:tr w:rsidR="00642F6F" w:rsidRPr="00633C13" w14:paraId="752F3E8E" w14:textId="77777777" w:rsidTr="00642F6F">
        <w:tc>
          <w:tcPr>
            <w:tcW w:w="846" w:type="dxa"/>
            <w:vAlign w:val="center"/>
          </w:tcPr>
          <w:p w14:paraId="2770B816" w14:textId="7984FD0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86" w:type="dxa"/>
          </w:tcPr>
          <w:p w14:paraId="2A52D991" w14:textId="7DEB3EB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2136" w:type="dxa"/>
          </w:tcPr>
          <w:p w14:paraId="477164A5" w14:textId="44D10E0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sz w:val="22"/>
                <w:szCs w:val="22"/>
              </w:rPr>
              <w:t>Warunki wymagane, konieczne do spełnienia Parametr graniczny/wartość</w:t>
            </w:r>
          </w:p>
        </w:tc>
        <w:tc>
          <w:tcPr>
            <w:tcW w:w="1763" w:type="dxa"/>
          </w:tcPr>
          <w:p w14:paraId="642EE707" w14:textId="2313000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sz w:val="22"/>
                <w:szCs w:val="22"/>
              </w:rPr>
              <w:t>Parametr oferowany (podać, opisać)</w:t>
            </w:r>
          </w:p>
        </w:tc>
        <w:tc>
          <w:tcPr>
            <w:tcW w:w="1764" w:type="dxa"/>
          </w:tcPr>
          <w:p w14:paraId="7661F69E" w14:textId="2AF4C0D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642F6F" w:rsidRPr="00633C13" w14:paraId="76ACC90D" w14:textId="77777777" w:rsidTr="00642F6F">
        <w:tc>
          <w:tcPr>
            <w:tcW w:w="846" w:type="dxa"/>
            <w:vAlign w:val="center"/>
          </w:tcPr>
          <w:p w14:paraId="3908E08E" w14:textId="34C438AE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249B7729" w14:textId="0A96F01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Ochrona przed wilgocią IP22</w:t>
            </w:r>
          </w:p>
        </w:tc>
        <w:tc>
          <w:tcPr>
            <w:tcW w:w="2136" w:type="dxa"/>
            <w:vAlign w:val="center"/>
          </w:tcPr>
          <w:p w14:paraId="7B3735FC" w14:textId="5B848E9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101EF970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F53FEF4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7A92273" w14:textId="77777777" w:rsidTr="00642F6F">
        <w:tc>
          <w:tcPr>
            <w:tcW w:w="846" w:type="dxa"/>
            <w:vAlign w:val="center"/>
          </w:tcPr>
          <w:p w14:paraId="5ABB04BB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3B166BB" w14:textId="075F55EF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Zewnętrzne źródło zasilania Zasilanie przez stację 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dokującą 100-240V AC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lub zasilacz zewnętrzny IP42</w:t>
            </w:r>
          </w:p>
        </w:tc>
        <w:tc>
          <w:tcPr>
            <w:tcW w:w="2136" w:type="dxa"/>
            <w:vAlign w:val="center"/>
          </w:tcPr>
          <w:p w14:paraId="57BEE3E2" w14:textId="6F7056D6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Tak (podać jakie)</w:t>
            </w:r>
          </w:p>
        </w:tc>
        <w:tc>
          <w:tcPr>
            <w:tcW w:w="1763" w:type="dxa"/>
            <w:vAlign w:val="center"/>
          </w:tcPr>
          <w:p w14:paraId="513927AC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8B3D1C5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55EE19D2" w14:textId="77777777" w:rsidTr="00642F6F">
        <w:tc>
          <w:tcPr>
            <w:tcW w:w="846" w:type="dxa"/>
            <w:vAlign w:val="center"/>
          </w:tcPr>
          <w:p w14:paraId="55B00AA3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D94FDA8" w14:textId="43C0459B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Typ akumulatora </w:t>
            </w:r>
            <w:proofErr w:type="spellStart"/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NiMH</w:t>
            </w:r>
            <w:proofErr w:type="spellEnd"/>
          </w:p>
        </w:tc>
        <w:tc>
          <w:tcPr>
            <w:tcW w:w="2136" w:type="dxa"/>
            <w:vAlign w:val="center"/>
          </w:tcPr>
          <w:p w14:paraId="37D40C32" w14:textId="423B1A8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5CE49ECC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9ACE0A2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1F875AA9" w14:textId="77777777" w:rsidTr="00642F6F">
        <w:tc>
          <w:tcPr>
            <w:tcW w:w="846" w:type="dxa"/>
            <w:vAlign w:val="center"/>
          </w:tcPr>
          <w:p w14:paraId="16BBDE3D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40499517" w14:textId="7074C6D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Awaryjne zasilanie z akumulatora wewnętrznego min.16h @ 5ml/h</w:t>
            </w:r>
          </w:p>
        </w:tc>
        <w:tc>
          <w:tcPr>
            <w:tcW w:w="2136" w:type="dxa"/>
            <w:vAlign w:val="center"/>
          </w:tcPr>
          <w:p w14:paraId="61E95F68" w14:textId="4AFD093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50FE00A2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B6B1740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755BCDFD" w14:textId="77777777" w:rsidTr="00642F6F">
        <w:tc>
          <w:tcPr>
            <w:tcW w:w="846" w:type="dxa"/>
            <w:vAlign w:val="center"/>
          </w:tcPr>
          <w:p w14:paraId="267AC6A0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4F22AD82" w14:textId="6858289F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Masa aparatu max.1,4 kg</w:t>
            </w:r>
          </w:p>
        </w:tc>
        <w:tc>
          <w:tcPr>
            <w:tcW w:w="2136" w:type="dxa"/>
            <w:vAlign w:val="center"/>
          </w:tcPr>
          <w:p w14:paraId="006735B6" w14:textId="191B563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128446A9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77977611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2C00EE3" w14:textId="77777777" w:rsidTr="00642F6F">
        <w:tc>
          <w:tcPr>
            <w:tcW w:w="846" w:type="dxa"/>
            <w:vAlign w:val="center"/>
          </w:tcPr>
          <w:p w14:paraId="00F6C084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15442793" w14:textId="48C68E5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Pompa zajmująca przestrzeń nie większą niż 2 600 cm3</w:t>
            </w:r>
          </w:p>
        </w:tc>
        <w:tc>
          <w:tcPr>
            <w:tcW w:w="2136" w:type="dxa"/>
            <w:vAlign w:val="center"/>
          </w:tcPr>
          <w:p w14:paraId="72AEFEE7" w14:textId="0450433B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3E75DAB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A548B33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8872061" w14:textId="77777777" w:rsidTr="00642F6F">
        <w:tc>
          <w:tcPr>
            <w:tcW w:w="846" w:type="dxa"/>
            <w:vAlign w:val="center"/>
          </w:tcPr>
          <w:p w14:paraId="7B79CBB3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0A88984D" w14:textId="162FDFD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Prędkość infuzji 0,1 -99,99 ml programowana co 0,01ml</w:t>
            </w:r>
          </w:p>
        </w:tc>
        <w:tc>
          <w:tcPr>
            <w:tcW w:w="2136" w:type="dxa"/>
            <w:vAlign w:val="center"/>
          </w:tcPr>
          <w:p w14:paraId="354788A2" w14:textId="45A9FCF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14516D5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2DC8F2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19AD0ECF" w14:textId="77777777" w:rsidTr="00642F6F">
        <w:tc>
          <w:tcPr>
            <w:tcW w:w="846" w:type="dxa"/>
            <w:vAlign w:val="center"/>
          </w:tcPr>
          <w:p w14:paraId="30A3D50C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18310C85" w14:textId="25595CE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Możliwa do ustawienia prędkość bolusa 0,1 - 1800 ml/h</w:t>
            </w:r>
          </w:p>
        </w:tc>
        <w:tc>
          <w:tcPr>
            <w:tcW w:w="2136" w:type="dxa"/>
            <w:vAlign w:val="center"/>
          </w:tcPr>
          <w:p w14:paraId="2CBA1805" w14:textId="704CE779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7A383927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9F575F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22265C2A" w14:textId="77777777" w:rsidTr="00642F6F">
        <w:tc>
          <w:tcPr>
            <w:tcW w:w="846" w:type="dxa"/>
            <w:vAlign w:val="center"/>
          </w:tcPr>
          <w:p w14:paraId="30128173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0FCE115" w14:textId="5158EE96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Możliwość stosowania strzykawek o różnych 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pojemnościach. Strzykawki możliwe do zastosowania 3, 5, 10,20,30,50, 50/60ml</w:t>
            </w:r>
          </w:p>
        </w:tc>
        <w:tc>
          <w:tcPr>
            <w:tcW w:w="2136" w:type="dxa"/>
            <w:vAlign w:val="center"/>
          </w:tcPr>
          <w:p w14:paraId="1053C756" w14:textId="5BC5E46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7912E683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6522193D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6ECDB1B5" w14:textId="77777777" w:rsidTr="00642F6F">
        <w:tc>
          <w:tcPr>
            <w:tcW w:w="846" w:type="dxa"/>
            <w:vAlign w:val="center"/>
          </w:tcPr>
          <w:p w14:paraId="71A530E9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69524950" w14:textId="51D8438B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Maksymalny bolus po redukcji okluzji ≤± 0,2 ml</w:t>
            </w:r>
          </w:p>
        </w:tc>
        <w:tc>
          <w:tcPr>
            <w:tcW w:w="2136" w:type="dxa"/>
            <w:vAlign w:val="center"/>
          </w:tcPr>
          <w:p w14:paraId="14D366D8" w14:textId="70A41C8F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0D1D2BB6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322A44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EA66413" w14:textId="77777777" w:rsidTr="00642F6F">
        <w:tc>
          <w:tcPr>
            <w:tcW w:w="846" w:type="dxa"/>
            <w:vAlign w:val="center"/>
          </w:tcPr>
          <w:p w14:paraId="0AF71B2A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44D9D633" w14:textId="62E89DD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Odłączalny uchwyt do przenoszenia do 3 pomp zasilanych jednym przewodem nie wymagającym dodatkowych elementów.</w:t>
            </w:r>
          </w:p>
        </w:tc>
        <w:tc>
          <w:tcPr>
            <w:tcW w:w="2136" w:type="dxa"/>
            <w:vAlign w:val="center"/>
          </w:tcPr>
          <w:p w14:paraId="73FB485A" w14:textId="10FB758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1763" w:type="dxa"/>
            <w:vAlign w:val="center"/>
          </w:tcPr>
          <w:p w14:paraId="0A139F22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2DCC8756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EDA49BA" w14:textId="77777777" w:rsidTr="00642F6F">
        <w:tc>
          <w:tcPr>
            <w:tcW w:w="846" w:type="dxa"/>
            <w:vAlign w:val="center"/>
          </w:tcPr>
          <w:p w14:paraId="718DD842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69AE5176" w14:textId="19D7A524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Mocowanie do pionowego statywu/rury do 3 pomp jednym uchwytem, zasilanych jednym przewodem.</w:t>
            </w:r>
          </w:p>
        </w:tc>
        <w:tc>
          <w:tcPr>
            <w:tcW w:w="2136" w:type="dxa"/>
            <w:vAlign w:val="center"/>
          </w:tcPr>
          <w:p w14:paraId="5F7814E0" w14:textId="00E7104D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  <w:proofErr w:type="spellEnd"/>
          </w:p>
        </w:tc>
        <w:tc>
          <w:tcPr>
            <w:tcW w:w="1763" w:type="dxa"/>
            <w:vAlign w:val="center"/>
          </w:tcPr>
          <w:p w14:paraId="1CC5BCA1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68E22B80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1C348DFF" w14:textId="77777777" w:rsidTr="00642F6F">
        <w:tc>
          <w:tcPr>
            <w:tcW w:w="846" w:type="dxa"/>
            <w:vAlign w:val="center"/>
          </w:tcPr>
          <w:p w14:paraId="239DB3F9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740E12A6" w14:textId="3B69129E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Pompa zawierająca bibliotekę leków. Max. 1 200 leków wraz z protokołami infuzji. z możliwością podzielenia na min.30 grup w 50 bibliotekach.</w:t>
            </w:r>
          </w:p>
        </w:tc>
        <w:tc>
          <w:tcPr>
            <w:tcW w:w="2136" w:type="dxa"/>
            <w:vAlign w:val="center"/>
          </w:tcPr>
          <w:p w14:paraId="5AEE572D" w14:textId="48FC1D8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0493305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DB24F07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B6821C7" w14:textId="77777777" w:rsidTr="00642F6F">
        <w:tc>
          <w:tcPr>
            <w:tcW w:w="846" w:type="dxa"/>
            <w:vAlign w:val="center"/>
          </w:tcPr>
          <w:p w14:paraId="6046D3D5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0B059917" w14:textId="77777777" w:rsidR="00642F6F" w:rsidRPr="00633C13" w:rsidRDefault="00642F6F" w:rsidP="00642F6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Prędkości bolusa min: </w:t>
            </w:r>
          </w:p>
          <w:p w14:paraId="183970DE" w14:textId="70CEC10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dla strzykawki o poj.3ml =1-150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poj.5ml =1-300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poj.10ml =1-500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poj.20ml =1-800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poj.30ml =1-1200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poj.50/60ml =1-1800 ml/h.</w:t>
            </w:r>
          </w:p>
        </w:tc>
        <w:tc>
          <w:tcPr>
            <w:tcW w:w="2136" w:type="dxa"/>
            <w:vAlign w:val="center"/>
          </w:tcPr>
          <w:p w14:paraId="6EABA9FF" w14:textId="46D0E45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4AA58210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A7B8557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39E320F" w14:textId="77777777" w:rsidTr="00642F6F">
        <w:tc>
          <w:tcPr>
            <w:tcW w:w="846" w:type="dxa"/>
            <w:vAlign w:val="center"/>
          </w:tcPr>
          <w:p w14:paraId="3318E2F1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CC6F391" w14:textId="56D3D41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2136" w:type="dxa"/>
            <w:vAlign w:val="center"/>
          </w:tcPr>
          <w:p w14:paraId="577AEE78" w14:textId="177D2A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221B67E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06E01DB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4A16100" w14:textId="77777777" w:rsidTr="00642F6F">
        <w:tc>
          <w:tcPr>
            <w:tcW w:w="846" w:type="dxa"/>
            <w:vAlign w:val="center"/>
          </w:tcPr>
          <w:p w14:paraId="196879D2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8163D89" w14:textId="37D2C71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rozszerzenia funkcji terapeutycznych każdej pompy o PCA, PCEA</w:t>
            </w:r>
          </w:p>
        </w:tc>
        <w:tc>
          <w:tcPr>
            <w:tcW w:w="2136" w:type="dxa"/>
            <w:vAlign w:val="center"/>
          </w:tcPr>
          <w:p w14:paraId="68439F36" w14:textId="2C2D59A3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053FD0C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7C394D4A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5F0631F" w14:textId="77777777" w:rsidTr="00642F6F">
        <w:tc>
          <w:tcPr>
            <w:tcW w:w="846" w:type="dxa"/>
            <w:vAlign w:val="center"/>
          </w:tcPr>
          <w:p w14:paraId="4C84969B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15929692" w14:textId="62D47B3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rozszerzenia funkcji terapeutycznych każdej pompy o TCI</w:t>
            </w:r>
          </w:p>
        </w:tc>
        <w:tc>
          <w:tcPr>
            <w:tcW w:w="2136" w:type="dxa"/>
            <w:vAlign w:val="center"/>
          </w:tcPr>
          <w:p w14:paraId="33A725D9" w14:textId="0C888F6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2E63C243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420424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578C064D" w14:textId="77777777" w:rsidTr="00642F6F">
        <w:tc>
          <w:tcPr>
            <w:tcW w:w="846" w:type="dxa"/>
            <w:vAlign w:val="center"/>
          </w:tcPr>
          <w:p w14:paraId="24C695AB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71687711" w14:textId="6DF23DC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Opcjonalna możliwość bezprzewodowej komunikacji pomp z komputerem 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poza stacją dokującą</w:t>
            </w:r>
          </w:p>
        </w:tc>
        <w:tc>
          <w:tcPr>
            <w:tcW w:w="2136" w:type="dxa"/>
            <w:vAlign w:val="center"/>
          </w:tcPr>
          <w:p w14:paraId="4FACBEFC" w14:textId="0137FF1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3127B479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B434126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65791509" w14:textId="77777777" w:rsidTr="00642F6F">
        <w:tc>
          <w:tcPr>
            <w:tcW w:w="846" w:type="dxa"/>
            <w:vAlign w:val="center"/>
          </w:tcPr>
          <w:p w14:paraId="022932C5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018D57A8" w14:textId="5C40DCA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pracy w stacji MRI</w:t>
            </w:r>
          </w:p>
        </w:tc>
        <w:tc>
          <w:tcPr>
            <w:tcW w:w="2136" w:type="dxa"/>
            <w:vAlign w:val="center"/>
          </w:tcPr>
          <w:p w14:paraId="26688254" w14:textId="3F5DFCB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125CA721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78462CA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4AC318F" w14:textId="77777777" w:rsidTr="00642F6F">
        <w:tc>
          <w:tcPr>
            <w:tcW w:w="846" w:type="dxa"/>
            <w:vAlign w:val="center"/>
          </w:tcPr>
          <w:p w14:paraId="1A28B794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27175F8A" w14:textId="13B3C135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pracy w systemie kontrolowanej insulinoterapii</w:t>
            </w:r>
          </w:p>
        </w:tc>
        <w:tc>
          <w:tcPr>
            <w:tcW w:w="2136" w:type="dxa"/>
            <w:vAlign w:val="center"/>
          </w:tcPr>
          <w:p w14:paraId="46B90281" w14:textId="7207DCDA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42A1F2B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9EA41BB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6B3A2B75" w14:textId="77777777" w:rsidTr="00642F6F">
        <w:tc>
          <w:tcPr>
            <w:tcW w:w="846" w:type="dxa"/>
            <w:vAlign w:val="center"/>
          </w:tcPr>
          <w:p w14:paraId="1771624A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73D47118" w14:textId="32B085CA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rozszerzenia funkcji terapeutycznych o Czujnik zmian ciśnienia w linii - okluzji i rozłączenia linii bez konieczności stosowania specjalnych drenów</w:t>
            </w:r>
          </w:p>
        </w:tc>
        <w:tc>
          <w:tcPr>
            <w:tcW w:w="2136" w:type="dxa"/>
            <w:vAlign w:val="center"/>
          </w:tcPr>
          <w:p w14:paraId="3803991C" w14:textId="3909741E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7D159684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03C53D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5FE38497" w14:textId="77777777" w:rsidTr="00642F6F">
        <w:tc>
          <w:tcPr>
            <w:tcW w:w="846" w:type="dxa"/>
            <w:vAlign w:val="center"/>
          </w:tcPr>
          <w:p w14:paraId="39269C03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193C0346" w14:textId="3AB885A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Możliwość rozszerzenia funkcji terapeutycznych o </w:t>
            </w:r>
            <w:proofErr w:type="spellStart"/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TakeOverMode</w:t>
            </w:r>
            <w:proofErr w:type="spellEnd"/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(tryb przejęcia infuzji autom.  przejęcie infuzji przez kolejną pompę)</w:t>
            </w:r>
          </w:p>
        </w:tc>
        <w:tc>
          <w:tcPr>
            <w:tcW w:w="2136" w:type="dxa"/>
            <w:vAlign w:val="center"/>
          </w:tcPr>
          <w:p w14:paraId="2E56424A" w14:textId="53EC40F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3E39CAA7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A20443B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0FBE9518" w14:textId="77777777" w:rsidTr="00642F6F">
        <w:tc>
          <w:tcPr>
            <w:tcW w:w="846" w:type="dxa"/>
            <w:vAlign w:val="center"/>
          </w:tcPr>
          <w:p w14:paraId="6B94426D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31C54CCE" w14:textId="29843F4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wyświetlania naprzemiennego nazwy leku i/lub wybranych parametrów infuzji.</w:t>
            </w:r>
          </w:p>
        </w:tc>
        <w:tc>
          <w:tcPr>
            <w:tcW w:w="2136" w:type="dxa"/>
            <w:vAlign w:val="center"/>
          </w:tcPr>
          <w:p w14:paraId="79204264" w14:textId="517B9B6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659FE213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1B0D489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4BC3905" w14:textId="77777777" w:rsidTr="00642F6F">
        <w:tc>
          <w:tcPr>
            <w:tcW w:w="846" w:type="dxa"/>
            <w:vAlign w:val="center"/>
          </w:tcPr>
          <w:p w14:paraId="352A98AF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3E304066" w14:textId="0E064CEA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Blokada nastawień hasłem 3 poziomy</w:t>
            </w:r>
          </w:p>
        </w:tc>
        <w:tc>
          <w:tcPr>
            <w:tcW w:w="2136" w:type="dxa"/>
            <w:vAlign w:val="center"/>
          </w:tcPr>
          <w:p w14:paraId="5C236630" w14:textId="22C155D9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1763" w:type="dxa"/>
            <w:vAlign w:val="center"/>
          </w:tcPr>
          <w:p w14:paraId="5514372C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39576D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0232FE6F" w14:textId="77777777" w:rsidTr="00642F6F">
        <w:tc>
          <w:tcPr>
            <w:tcW w:w="846" w:type="dxa"/>
            <w:vAlign w:val="center"/>
          </w:tcPr>
          <w:p w14:paraId="00C732E5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bookmarkStart w:id="0" w:name="_Hlk506814232"/>
          </w:p>
        </w:tc>
        <w:tc>
          <w:tcPr>
            <w:tcW w:w="3186" w:type="dxa"/>
            <w:vAlign w:val="center"/>
          </w:tcPr>
          <w:p w14:paraId="74F82EE4" w14:textId="78219207" w:rsidR="00642F6F" w:rsidRPr="009647C3" w:rsidRDefault="00642F6F" w:rsidP="00642F6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>Możliwość zaprogramowania limitu objętości do podania min.</w:t>
            </w:r>
            <w:r w:rsidR="00A008E3"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>999</w:t>
            </w:r>
            <w:r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 xml:space="preserve"> ml</w:t>
            </w:r>
          </w:p>
        </w:tc>
        <w:tc>
          <w:tcPr>
            <w:tcW w:w="2136" w:type="dxa"/>
            <w:vAlign w:val="center"/>
          </w:tcPr>
          <w:p w14:paraId="702BC767" w14:textId="215A1DC3" w:rsidR="00642F6F" w:rsidRPr="009647C3" w:rsidRDefault="00642F6F" w:rsidP="00642F6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5A8DB96C" w14:textId="77777777" w:rsidR="00642F6F" w:rsidRPr="009647C3" w:rsidRDefault="00642F6F" w:rsidP="00642F6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64" w:type="dxa"/>
            <w:vAlign w:val="center"/>
          </w:tcPr>
          <w:p w14:paraId="0A0F3995" w14:textId="170A9303" w:rsidR="00642F6F" w:rsidRPr="009647C3" w:rsidRDefault="00A008E3" w:rsidP="00642F6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>999</w:t>
            </w:r>
            <w:r w:rsidR="00642F6F"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 xml:space="preserve">ml </w:t>
            </w:r>
            <w:r w:rsidR="00DB0565"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>–</w:t>
            </w:r>
            <w:r w:rsidR="00642F6F"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 xml:space="preserve"> 1500</w:t>
            </w:r>
            <w:r w:rsidR="00DB0565"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>ml</w:t>
            </w:r>
            <w:r w:rsidR="00642F6F" w:rsidRPr="009647C3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pl-PL"/>
              </w:rPr>
              <w:t>- 0 pkt. &gt;1500ml - 5 pkt.</w:t>
            </w:r>
          </w:p>
        </w:tc>
      </w:tr>
      <w:bookmarkEnd w:id="0"/>
      <w:tr w:rsidR="00642F6F" w:rsidRPr="00633C13" w14:paraId="627FD3D7" w14:textId="77777777" w:rsidTr="00642F6F">
        <w:tc>
          <w:tcPr>
            <w:tcW w:w="846" w:type="dxa"/>
            <w:vAlign w:val="center"/>
          </w:tcPr>
          <w:p w14:paraId="534C7F5A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38BE7DCE" w14:textId="0E516169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zaprogramowania czasu infuzji od 0,01 -99,59</w:t>
            </w:r>
          </w:p>
        </w:tc>
        <w:tc>
          <w:tcPr>
            <w:tcW w:w="2136" w:type="dxa"/>
            <w:vAlign w:val="center"/>
          </w:tcPr>
          <w:p w14:paraId="7EED2711" w14:textId="6312A4FA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6B00B235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4C17EFD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C6DE3E1" w14:textId="77777777" w:rsidTr="00642F6F">
        <w:tc>
          <w:tcPr>
            <w:tcW w:w="846" w:type="dxa"/>
            <w:vAlign w:val="center"/>
          </w:tcPr>
          <w:p w14:paraId="2665AE28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bookmarkStart w:id="1" w:name="_Hlk506814251"/>
          </w:p>
        </w:tc>
        <w:tc>
          <w:tcPr>
            <w:tcW w:w="3186" w:type="dxa"/>
            <w:vAlign w:val="center"/>
          </w:tcPr>
          <w:p w14:paraId="25D709BA" w14:textId="5D4FEEA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Pobór mocy max 15W</w:t>
            </w:r>
          </w:p>
        </w:tc>
        <w:tc>
          <w:tcPr>
            <w:tcW w:w="2136" w:type="dxa"/>
            <w:vAlign w:val="center"/>
          </w:tcPr>
          <w:p w14:paraId="459CEC34" w14:textId="5E8247DD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301E533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66C4EE3" w14:textId="470BDE06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≤10W - 5 pkt. &gt; 10W - 0 pkt.</w:t>
            </w:r>
          </w:p>
        </w:tc>
      </w:tr>
      <w:bookmarkEnd w:id="1"/>
      <w:tr w:rsidR="00642F6F" w:rsidRPr="00633C13" w14:paraId="5B3C2800" w14:textId="77777777" w:rsidTr="00642F6F">
        <w:tc>
          <w:tcPr>
            <w:tcW w:w="846" w:type="dxa"/>
            <w:vAlign w:val="center"/>
          </w:tcPr>
          <w:p w14:paraId="2ECFD2C2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75D515F2" w14:textId="2D5165DF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Podświetlany panel sterowania i klawisze (tzw. tryb nocny)</w:t>
            </w:r>
          </w:p>
        </w:tc>
        <w:tc>
          <w:tcPr>
            <w:tcW w:w="2136" w:type="dxa"/>
            <w:vAlign w:val="center"/>
          </w:tcPr>
          <w:p w14:paraId="0AB7CAF8" w14:textId="26BDDFC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1763" w:type="dxa"/>
            <w:vAlign w:val="center"/>
          </w:tcPr>
          <w:p w14:paraId="47F24EDB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5C7FB54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E27B00A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60061E4C" w14:textId="66D688E8" w:rsidR="00A86849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4F4F1E9F" w14:textId="55880482" w:rsidR="00991A0B" w:rsidRDefault="00991A0B" w:rsidP="00A86849">
      <w:pPr>
        <w:rPr>
          <w:rFonts w:ascii="Arial" w:hAnsi="Arial" w:cs="Arial"/>
          <w:b/>
          <w:bCs/>
          <w:sz w:val="22"/>
          <w:szCs w:val="22"/>
        </w:rPr>
      </w:pPr>
    </w:p>
    <w:p w14:paraId="6E1831B3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2E807F99" w14:textId="68858F47" w:rsidR="004C77A8" w:rsidRPr="00633C13" w:rsidRDefault="004C77A8" w:rsidP="004C77A8">
      <w:pPr>
        <w:rPr>
          <w:rFonts w:ascii="Arial" w:hAnsi="Arial" w:cs="Arial"/>
          <w:sz w:val="22"/>
          <w:szCs w:val="22"/>
        </w:rPr>
      </w:pPr>
      <w:bookmarkStart w:id="2" w:name="_Hlk507577823"/>
      <w:r w:rsidRPr="00633C13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633C13">
        <w:rPr>
          <w:rFonts w:ascii="Arial" w:hAnsi="Arial" w:cs="Arial"/>
          <w:sz w:val="22"/>
          <w:szCs w:val="22"/>
        </w:rPr>
        <w:t>product</w:t>
      </w:r>
      <w:proofErr w:type="spellEnd"/>
      <w:r w:rsidRPr="00633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13">
        <w:rPr>
          <w:rFonts w:ascii="Arial" w:hAnsi="Arial" w:cs="Arial"/>
          <w:sz w:val="22"/>
          <w:szCs w:val="22"/>
        </w:rPr>
        <w:t>date</w:t>
      </w:r>
      <w:proofErr w:type="spellEnd"/>
      <w:r w:rsidRPr="00633C13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14:paraId="12ABE10F" w14:textId="77777777" w:rsidR="004C77A8" w:rsidRPr="00633C13" w:rsidRDefault="004C77A8" w:rsidP="004C77A8">
      <w:pPr>
        <w:rPr>
          <w:rFonts w:ascii="Arial" w:hAnsi="Arial" w:cs="Arial"/>
          <w:sz w:val="22"/>
          <w:szCs w:val="22"/>
        </w:rPr>
      </w:pPr>
      <w:r w:rsidRPr="00633C13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14:paraId="66E5B312" w14:textId="77777777" w:rsidR="004C77A8" w:rsidRPr="00633C13" w:rsidRDefault="004C77A8" w:rsidP="004C77A8">
      <w:pPr>
        <w:rPr>
          <w:rFonts w:ascii="Arial" w:hAnsi="Arial" w:cs="Arial"/>
          <w:sz w:val="22"/>
          <w:szCs w:val="22"/>
        </w:rPr>
      </w:pPr>
    </w:p>
    <w:p w14:paraId="1513A357" w14:textId="77777777" w:rsidR="004C77A8" w:rsidRPr="00633C13" w:rsidRDefault="004C77A8" w:rsidP="004C77A8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14:paraId="2D6E065D" w14:textId="77777777" w:rsidR="004C77A8" w:rsidRPr="00633C13" w:rsidRDefault="004C77A8" w:rsidP="004C77A8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4C77A8" w:rsidRPr="00633C13" w14:paraId="4ABD2CBF" w14:textId="77777777" w:rsidTr="007903F3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6FBBE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633C13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633C13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33C13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14:paraId="4E249FAF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6E0ED98F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4C77A8" w:rsidRPr="00633C13" w14:paraId="7B5956BB" w14:textId="77777777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6A8782" w14:textId="77777777" w:rsidR="004C77A8" w:rsidRPr="00633C13" w:rsidRDefault="004C77A8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430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C77A8" w:rsidRPr="00633C13" w14:paraId="74E4D8DE" w14:textId="77777777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14736" w14:textId="77777777" w:rsidR="004C77A8" w:rsidRPr="00633C13" w:rsidRDefault="004C77A8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9F17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C77A8" w:rsidRPr="00633C13" w14:paraId="199F5472" w14:textId="77777777" w:rsidTr="007903F3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0C09A" w14:textId="77777777" w:rsidR="004C77A8" w:rsidRPr="00633C13" w:rsidRDefault="004C77A8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9827A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0774FE4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C409354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6460CB84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14:paraId="706C6429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14:paraId="094B779A" w14:textId="77777777" w:rsidR="004C77A8" w:rsidRPr="00633C13" w:rsidRDefault="004C77A8" w:rsidP="004C77A8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14:paraId="2F38086B" w14:textId="77777777" w:rsidR="004C77A8" w:rsidRPr="00633C13" w:rsidRDefault="004C77A8" w:rsidP="004C77A8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675A6B81" w14:textId="1D717173" w:rsidR="00DC7456" w:rsidRDefault="00DC7456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14:paraId="241A185A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2DB114D" w14:textId="77777777" w:rsidR="004C77A8" w:rsidRPr="00633C13" w:rsidRDefault="004C77A8" w:rsidP="004C77A8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633C13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14:paraId="79337DDA" w14:textId="77777777" w:rsidR="004C77A8" w:rsidRPr="00633C13" w:rsidRDefault="004C77A8" w:rsidP="004C77A8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4C77A8" w:rsidRPr="00633C13" w14:paraId="46B41CD9" w14:textId="77777777" w:rsidTr="007903F3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14:paraId="47700DF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14:paraId="30D429ED" w14:textId="5BE6113C" w:rsidR="004C77A8" w:rsidRPr="00633C13" w:rsidRDefault="00B27414" w:rsidP="00B27414">
            <w:pPr>
              <w:keepNext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Pompy </w:t>
            </w:r>
            <w:proofErr w:type="spellStart"/>
            <w:r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strzykawkowe</w:t>
            </w:r>
            <w:proofErr w:type="spellEnd"/>
            <w:r w:rsidR="00991A0B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32szt.</w:t>
            </w:r>
          </w:p>
          <w:p w14:paraId="56592C3B" w14:textId="77777777" w:rsidR="004C77A8" w:rsidRPr="00633C13" w:rsidRDefault="004C77A8" w:rsidP="007903F3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14:paraId="3602CA0C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14:paraId="240DF67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4C77A8" w:rsidRPr="00633C13" w14:paraId="6A9E5FAF" w14:textId="77777777" w:rsidTr="007903F3">
        <w:trPr>
          <w:trHeight w:val="810"/>
        </w:trPr>
        <w:tc>
          <w:tcPr>
            <w:tcW w:w="567" w:type="dxa"/>
            <w:vAlign w:val="center"/>
          </w:tcPr>
          <w:p w14:paraId="06C39BD5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14:paraId="193DFC8B" w14:textId="77777777" w:rsidR="004C77A8" w:rsidRPr="00633C13" w:rsidRDefault="004C77A8" w:rsidP="007903F3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14:paraId="7A0E22E1" w14:textId="77777777" w:rsidR="004C77A8" w:rsidRPr="00633C13" w:rsidRDefault="004C77A8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14:paraId="0B5D0F66" w14:textId="77777777" w:rsidR="004C77A8" w:rsidRPr="00633C13" w:rsidRDefault="004C77A8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14:paraId="0C2460B3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159BCDF2" w14:textId="77777777" w:rsidTr="007903F3">
        <w:tc>
          <w:tcPr>
            <w:tcW w:w="567" w:type="dxa"/>
            <w:vAlign w:val="center"/>
          </w:tcPr>
          <w:p w14:paraId="58C9A04D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14:paraId="4A17A11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14:paraId="078C81AC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3457567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173F2531" w14:textId="77777777" w:rsidTr="007903F3">
        <w:tc>
          <w:tcPr>
            <w:tcW w:w="567" w:type="dxa"/>
            <w:vAlign w:val="center"/>
          </w:tcPr>
          <w:p w14:paraId="15388CCA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14:paraId="357DECFD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14:paraId="3AF963F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C7C4A68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071C4DB0" w14:textId="77777777" w:rsidTr="007903F3">
        <w:trPr>
          <w:trHeight w:val="1658"/>
        </w:trPr>
        <w:tc>
          <w:tcPr>
            <w:tcW w:w="567" w:type="dxa"/>
            <w:vAlign w:val="center"/>
          </w:tcPr>
          <w:p w14:paraId="6C827F1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14:paraId="6553BC8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633C13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14:paraId="58754377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25AA08B2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518C8569" w14:textId="77777777" w:rsidTr="007903F3">
        <w:trPr>
          <w:trHeight w:val="83"/>
        </w:trPr>
        <w:tc>
          <w:tcPr>
            <w:tcW w:w="567" w:type="dxa"/>
            <w:vAlign w:val="center"/>
          </w:tcPr>
          <w:p w14:paraId="63DD152E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14:paraId="3382610D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14:paraId="2BD1F34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14:paraId="306FF165" w14:textId="77777777" w:rsidR="004C77A8" w:rsidRPr="00633C13" w:rsidRDefault="004C77A8" w:rsidP="007903F3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05EEC80F" w14:textId="77777777" w:rsidTr="007903F3">
        <w:tc>
          <w:tcPr>
            <w:tcW w:w="567" w:type="dxa"/>
            <w:vAlign w:val="center"/>
          </w:tcPr>
          <w:p w14:paraId="16E6DF32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14:paraId="320D30AB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14:paraId="3F10F01B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14:paraId="07D8097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2A8BAC48" w14:textId="77777777" w:rsidTr="007903F3">
        <w:tc>
          <w:tcPr>
            <w:tcW w:w="567" w:type="dxa"/>
            <w:vAlign w:val="center"/>
          </w:tcPr>
          <w:p w14:paraId="347DAE08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14:paraId="548A46C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14:paraId="57CAA413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14054DF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35F0BE82" w14:textId="77777777" w:rsidTr="007903F3">
        <w:tc>
          <w:tcPr>
            <w:tcW w:w="567" w:type="dxa"/>
            <w:vAlign w:val="center"/>
          </w:tcPr>
          <w:p w14:paraId="4B5D138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3891" w:type="dxa"/>
            <w:vAlign w:val="center"/>
          </w:tcPr>
          <w:p w14:paraId="4CC420C7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14:paraId="1B2A453E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633C13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14:paraId="3FAF11E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14:paraId="3A4F5FA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1214759D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0B389F6F" w14:textId="77777777" w:rsidTr="007903F3">
        <w:tc>
          <w:tcPr>
            <w:tcW w:w="567" w:type="dxa"/>
            <w:vAlign w:val="center"/>
          </w:tcPr>
          <w:p w14:paraId="6FC95D16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14:paraId="1B05095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14:paraId="2B44C559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14:paraId="0853A048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643B21BC" w14:textId="77777777" w:rsidTr="007903F3">
        <w:tc>
          <w:tcPr>
            <w:tcW w:w="567" w:type="dxa"/>
            <w:vAlign w:val="center"/>
          </w:tcPr>
          <w:p w14:paraId="16491E6C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14:paraId="0E20D873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14:paraId="1D1C64A2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654D5ECF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77D1094" w14:textId="77777777" w:rsidTr="007903F3">
        <w:tc>
          <w:tcPr>
            <w:tcW w:w="567" w:type="dxa"/>
            <w:vAlign w:val="center"/>
          </w:tcPr>
          <w:p w14:paraId="4B8A10C6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14:paraId="0AB24FD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14:paraId="75AE227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14:paraId="346CA83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4715A00" w14:textId="77777777" w:rsidTr="007903F3">
        <w:tc>
          <w:tcPr>
            <w:tcW w:w="567" w:type="dxa"/>
            <w:vAlign w:val="center"/>
          </w:tcPr>
          <w:p w14:paraId="23F1E11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14:paraId="1156368F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377CCB0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633C13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633C1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14:paraId="15F45362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92F891A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14:paraId="0FAB949F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4A6E50C" w14:textId="77777777" w:rsidTr="007903F3">
        <w:tc>
          <w:tcPr>
            <w:tcW w:w="567" w:type="dxa"/>
            <w:vAlign w:val="center"/>
          </w:tcPr>
          <w:p w14:paraId="4B967B5B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14:paraId="6707253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14:paraId="182C13BD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6DFE023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FF0337F" w14:textId="77777777" w:rsidTr="007903F3">
        <w:tc>
          <w:tcPr>
            <w:tcW w:w="567" w:type="dxa"/>
            <w:vAlign w:val="center"/>
          </w:tcPr>
          <w:p w14:paraId="51ADCFB4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14061E23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14:paraId="49BECDD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7EBF352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14:paraId="71E2636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14:paraId="150D809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14:paraId="420A6CEE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2501C506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359A97F" w14:textId="77777777" w:rsidTr="007903F3">
        <w:tc>
          <w:tcPr>
            <w:tcW w:w="567" w:type="dxa"/>
            <w:vAlign w:val="center"/>
          </w:tcPr>
          <w:p w14:paraId="4CF4717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15.</w:t>
            </w:r>
          </w:p>
        </w:tc>
        <w:tc>
          <w:tcPr>
            <w:tcW w:w="3891" w:type="dxa"/>
            <w:vAlign w:val="center"/>
          </w:tcPr>
          <w:p w14:paraId="58B0E1E1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14:paraId="14D648D0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7BB3FF64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13AA1256" w14:textId="77777777" w:rsidTr="007903F3">
        <w:tc>
          <w:tcPr>
            <w:tcW w:w="567" w:type="dxa"/>
            <w:vAlign w:val="center"/>
          </w:tcPr>
          <w:p w14:paraId="61C844E0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14:paraId="5B073A1D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14:paraId="3F4D443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14:paraId="123F28C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14:paraId="1C0D4878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44A1F112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19211468" w14:textId="77777777" w:rsidTr="007903F3">
        <w:tc>
          <w:tcPr>
            <w:tcW w:w="567" w:type="dxa"/>
            <w:vAlign w:val="center"/>
          </w:tcPr>
          <w:p w14:paraId="789C628A" w14:textId="77777777" w:rsidR="00991A0B" w:rsidRDefault="00991A0B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E8E3C10" w14:textId="0380A090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14:paraId="3BB73821" w14:textId="77777777" w:rsidR="00991A0B" w:rsidRDefault="00991A0B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1A33550" w14:textId="227D4B1C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633C1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633C1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14:paraId="040C6CC9" w14:textId="77777777" w:rsidR="00991A0B" w:rsidRDefault="00991A0B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5D410F82" w14:textId="7EF12459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633C13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14:paraId="23FCD91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3620887E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6A8958FB" w14:textId="77777777" w:rsidTr="007903F3">
        <w:tc>
          <w:tcPr>
            <w:tcW w:w="567" w:type="dxa"/>
            <w:vAlign w:val="center"/>
          </w:tcPr>
          <w:p w14:paraId="251889F6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14:paraId="39717457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088FC8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24BC4F8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1FD02B59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14:paraId="101BB33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14:paraId="11B76CE6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14:paraId="44D9693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63A5CBD3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36015898" w14:textId="77777777" w:rsidTr="007903F3">
        <w:tc>
          <w:tcPr>
            <w:tcW w:w="567" w:type="dxa"/>
            <w:vAlign w:val="center"/>
          </w:tcPr>
          <w:p w14:paraId="322794A3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14:paraId="337E09EE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harmonogramu pkt. 18 w języku polskim dokumentacja serwisowo – techniczna zawierająca opis sposobu wykonania tych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czynności przez służby techniczne zamawiającego – dostarczona w dniu dostawy.</w:t>
            </w:r>
          </w:p>
          <w:p w14:paraId="054FCBB4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1465C8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6357AFD5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AD5C15A" w14:textId="77777777" w:rsidTr="007903F3">
        <w:tc>
          <w:tcPr>
            <w:tcW w:w="567" w:type="dxa"/>
            <w:vAlign w:val="center"/>
          </w:tcPr>
          <w:p w14:paraId="6CB08D5E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20.</w:t>
            </w:r>
          </w:p>
        </w:tc>
        <w:tc>
          <w:tcPr>
            <w:tcW w:w="3891" w:type="dxa"/>
            <w:vAlign w:val="center"/>
          </w:tcPr>
          <w:p w14:paraId="4C2C3A4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7C545DB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14:paraId="4615D101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FFE329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6CBA86E4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0A0698BB" w14:textId="77777777" w:rsidTr="007903F3">
        <w:tc>
          <w:tcPr>
            <w:tcW w:w="567" w:type="dxa"/>
            <w:vAlign w:val="center"/>
          </w:tcPr>
          <w:p w14:paraId="05678286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F070693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14:paraId="7B942292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CFF2DE7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14:paraId="6490E24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54615F7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CC5597C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bookmarkEnd w:id="2"/>
    </w:tbl>
    <w:p w14:paraId="135E58C4" w14:textId="56A90DBA" w:rsidR="00A86849" w:rsidRPr="00633C13" w:rsidRDefault="00A86849" w:rsidP="004C77A8">
      <w:pPr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14:paraId="62EBF9A1" w14:textId="77777777" w:rsidR="00A86849" w:rsidRPr="00633C13" w:rsidRDefault="00A86849" w:rsidP="00A86849">
      <w:pPr>
        <w:jc w:val="center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14:paraId="1498BBB8" w14:textId="18250ACA" w:rsidR="00DC7456" w:rsidRDefault="00DC7456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br w:type="page"/>
      </w:r>
    </w:p>
    <w:p w14:paraId="64FD620E" w14:textId="107E8F6A" w:rsidR="00A86849" w:rsidRPr="00633C13" w:rsidRDefault="00A86849" w:rsidP="00A86849">
      <w:pPr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lastRenderedPageBreak/>
        <w:t>KARTA  KONTROLI</w:t>
      </w:r>
    </w:p>
    <w:p w14:paraId="0C6C2CD5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0A8CE62" w14:textId="77777777" w:rsidR="00A86849" w:rsidRPr="00633C13" w:rsidRDefault="00A86849" w:rsidP="00A86849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W związku z wymaganiami  Art. 90 ust. 6 i 7 ustawy o wyrobach medycznych  Dz.U. 2010  Nr 107   Poz. 679</w:t>
      </w:r>
    </w:p>
    <w:p w14:paraId="4D46A1B7" w14:textId="77777777" w:rsidR="00A86849" w:rsidRPr="00633C13" w:rsidRDefault="00A86849" w:rsidP="00A86849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14:paraId="709E88E4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3949976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u w:val="single"/>
          <w:lang w:eastAsia="pl-PL"/>
        </w:rPr>
        <w:t>Nazwa i  typ sprzętu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14:paraId="7BB03FA0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Klasa  ochrony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 I , II , III 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.  .  .  .  .  </w:t>
      </w:r>
    </w:p>
    <w:p w14:paraId="508C98E9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11DA79E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Typ części aplikacyjnych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14:paraId="779F8E76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1A1FE5E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    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14:paraId="06C4F564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przewodu ochronnego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(podać wartość limitu  </w:t>
      </w:r>
      <w:proofErr w:type="spellStart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m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Ω</w:t>
      </w:r>
      <w:proofErr w:type="spellEnd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)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 </w:t>
      </w:r>
      <w:proofErr w:type="spellStart"/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</w:t>
      </w:r>
      <w:proofErr w:type="spellEnd"/>
    </w:p>
    <w:p w14:paraId="7818863E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0B6C3DFC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urządzenia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</w:t>
      </w:r>
    </w:p>
    <w:p w14:paraId="44F69B9A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E588BC6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5F07D11E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48E24B3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różnicowa 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41508A3C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2D8BCA89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43D6B1D6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C63899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części aplikacyjnych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</w:p>
    <w:p w14:paraId="17DBC15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2FC75B9F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6F8BD81B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2CC909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2613E9C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E9B201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Rezystancja izolacji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MΩ)</w:t>
      </w:r>
    </w:p>
    <w:p w14:paraId="1037B8A3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56BB667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14:paraId="687C6DE0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097280F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14:paraId="5C0A0099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14:paraId="5B2F9378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8E6DD4E" w14:textId="31EB2883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funkcjonalny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zalecenia  producenta co do sposobu i zakresu wykonania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)</w:t>
      </w:r>
    </w:p>
    <w:p w14:paraId="4FBFC50D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7D3BEE8F" w14:textId="6A0BFA0F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14:paraId="69E2BB2B" w14:textId="179DD013" w:rsidR="003F7381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lastRenderedPageBreak/>
        <w:t xml:space="preserve">.  .  .  .  .  .  .  .  .  .  .  .  .  .  .  .  .  .  .  .  .  .  .  .  .  .  .  .  .  .  .  .  .  .  .  .  .  .  .  .  .  .  .  .  .  .  .  .  .  . </w:t>
      </w:r>
    </w:p>
    <w:p w14:paraId="03ADD407" w14:textId="221E6CE9" w:rsidR="003F7381" w:rsidRDefault="003F7381" w:rsidP="00DC7456">
      <w:pPr>
        <w:widowControl/>
        <w:suppressAutoHyphens w:val="0"/>
        <w:autoSpaceDE/>
        <w:spacing w:after="200" w:line="276" w:lineRule="auto"/>
        <w:rPr>
          <w:rFonts w:ascii="Tahoma" w:hAnsi="Tahoma" w:cs="Tahoma"/>
          <w:b/>
          <w:sz w:val="20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  <w:r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14:paraId="1C8F1909" w14:textId="77777777" w:rsidR="00FD36DB" w:rsidRDefault="00FD36DB" w:rsidP="00FD36DB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Pompy </w:t>
      </w:r>
      <w:proofErr w:type="spellStart"/>
      <w:r>
        <w:rPr>
          <w:rFonts w:ascii="Tahoma" w:hAnsi="Tahoma" w:cs="Tahoma"/>
          <w:b/>
          <w:bCs/>
          <w:sz w:val="20"/>
        </w:rPr>
        <w:t>strzykawkowe</w:t>
      </w:r>
      <w:proofErr w:type="spellEnd"/>
      <w:r>
        <w:rPr>
          <w:rFonts w:ascii="Tahoma" w:hAnsi="Tahoma" w:cs="Tahoma"/>
          <w:b/>
          <w:bCs/>
          <w:sz w:val="20"/>
        </w:rPr>
        <w:t xml:space="preserve"> 32 szt.</w:t>
      </w:r>
    </w:p>
    <w:p w14:paraId="38C03EE5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Cena – max 60 % </w:t>
      </w:r>
    </w:p>
    <w:p w14:paraId="42399BC0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Oferowana cena brutto oferty: 60%</w:t>
      </w:r>
    </w:p>
    <w:p w14:paraId="3718F64F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14:paraId="53ADFB35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</w:p>
    <w:p w14:paraId="548AF72B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</w:p>
    <w:p w14:paraId="7239216E" w14:textId="77777777" w:rsidR="00FD36DB" w:rsidRDefault="00FD36DB" w:rsidP="00FD36DB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14:paraId="14C47FFC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14:paraId="516EA64F" w14:textId="77777777" w:rsidR="00FD36DB" w:rsidRDefault="00FD36DB" w:rsidP="00FD36DB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badana </w:t>
      </w:r>
    </w:p>
    <w:p w14:paraId="1CEF14A5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</w:p>
    <w:p w14:paraId="1AF7BFA8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</w:p>
    <w:p w14:paraId="2D804EF9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14:paraId="2E62701D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1173D138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232E0C2A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Warunki gwarancji: Długość gwarancji na oferowane przedmiot zamówienia – min. 24 mc – 0 pkt, za każde kolejne 6 mc dodatkowe 5 pkt. (max 20 pkt) </w:t>
      </w:r>
    </w:p>
    <w:p w14:paraId="3895714A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5827E90A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0E241794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14:paraId="19A92E4F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14:paraId="0A624041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(60pkt)</w:t>
      </w:r>
    </w:p>
    <w:p w14:paraId="7647AFE3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37339319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509EF4D5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Parametry techniczne – max. 20% (możliwość zdobycia max. 10 pkt. przeliczanych wg. wzoru </w:t>
      </w:r>
    </w:p>
    <w:p w14:paraId="7D23658B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51FB815A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14:paraId="389E3D47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ilość punktów możliwa do uzyskania w </w:t>
      </w:r>
    </w:p>
    <w:p w14:paraId="29A18FA1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(10pkt.)</w:t>
      </w:r>
    </w:p>
    <w:p w14:paraId="360FEE3A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1C32FFA3" w14:textId="04A5CD61" w:rsidR="00FD36DB" w:rsidRDefault="00FD36DB" w:rsidP="00FD36DB">
      <w:pPr>
        <w:widowControl/>
        <w:numPr>
          <w:ilvl w:val="0"/>
          <w:numId w:val="18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Możliwość zaprogramowania limitu objętości do podania </w:t>
      </w:r>
      <w:r w:rsidRPr="009647C3">
        <w:rPr>
          <w:rFonts w:ascii="Tahoma" w:hAnsi="Tahoma" w:cs="Tahoma"/>
          <w:color w:val="FF0000"/>
          <w:sz w:val="20"/>
          <w:highlight w:val="yellow"/>
        </w:rPr>
        <w:t>min.</w:t>
      </w:r>
      <w:r w:rsidR="00A008E3" w:rsidRPr="009647C3">
        <w:rPr>
          <w:rFonts w:ascii="Tahoma" w:hAnsi="Tahoma" w:cs="Tahoma"/>
          <w:color w:val="FF0000"/>
          <w:sz w:val="20"/>
          <w:highlight w:val="yellow"/>
        </w:rPr>
        <w:t xml:space="preserve">999 ml: </w:t>
      </w:r>
      <w:r w:rsidR="00A008E3" w:rsidRPr="009647C3">
        <w:rPr>
          <w:rFonts w:ascii="Tahoma" w:hAnsi="Tahoma" w:cs="Tahoma"/>
          <w:color w:val="FF0000"/>
          <w:sz w:val="20"/>
          <w:highlight w:val="yellow"/>
        </w:rPr>
        <w:tab/>
        <w:t>999</w:t>
      </w:r>
      <w:r w:rsidRPr="009647C3">
        <w:rPr>
          <w:rFonts w:ascii="Tahoma" w:hAnsi="Tahoma" w:cs="Tahoma"/>
          <w:color w:val="FF0000"/>
          <w:sz w:val="20"/>
          <w:highlight w:val="yellow"/>
        </w:rPr>
        <w:t>ml – 1500ml</w:t>
      </w:r>
      <w:r w:rsidRPr="009647C3">
        <w:rPr>
          <w:rFonts w:ascii="Tahoma" w:hAnsi="Tahoma" w:cs="Tahoma"/>
          <w:color w:val="FF0000"/>
          <w:sz w:val="20"/>
        </w:rPr>
        <w:t xml:space="preserve">- </w:t>
      </w:r>
      <w:r>
        <w:rPr>
          <w:rFonts w:ascii="Tahoma" w:hAnsi="Tahoma" w:cs="Tahoma"/>
          <w:sz w:val="20"/>
        </w:rPr>
        <w:t>0 pkt. &gt;1500ml - 5 pkt.</w:t>
      </w:r>
    </w:p>
    <w:p w14:paraId="6B85DE83" w14:textId="77777777" w:rsidR="00FD36DB" w:rsidRDefault="00FD36DB" w:rsidP="00FD36DB">
      <w:pPr>
        <w:widowControl/>
        <w:numPr>
          <w:ilvl w:val="0"/>
          <w:numId w:val="18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Pobór mocy max 15W: </w:t>
      </w:r>
      <w:r>
        <w:rPr>
          <w:rFonts w:ascii="Tahoma" w:hAnsi="Tahoma" w:cs="Tahoma"/>
          <w:sz w:val="20"/>
        </w:rPr>
        <w:tab/>
        <w:t>≤10W - 5 pkt. &gt; 10W - 0 pkt.</w:t>
      </w:r>
    </w:p>
    <w:p w14:paraId="03420A9D" w14:textId="77777777" w:rsidR="00612655" w:rsidRPr="00540488" w:rsidRDefault="00612655" w:rsidP="00A86849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612655" w:rsidRPr="00540488" w:rsidSect="00FF65A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42F6F" w14:textId="77777777" w:rsidR="00A93548" w:rsidRDefault="00A93548" w:rsidP="007E6B96">
      <w:r>
        <w:separator/>
      </w:r>
    </w:p>
  </w:endnote>
  <w:endnote w:type="continuationSeparator" w:id="0">
    <w:p w14:paraId="4475AD14" w14:textId="77777777" w:rsidR="00A93548" w:rsidRDefault="00A93548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C4E94" w14:textId="77777777" w:rsidR="00A93548" w:rsidRDefault="00A93548" w:rsidP="007E6B96">
      <w:r>
        <w:separator/>
      </w:r>
    </w:p>
  </w:footnote>
  <w:footnote w:type="continuationSeparator" w:id="0">
    <w:p w14:paraId="42AFC42D" w14:textId="77777777" w:rsidR="00A93548" w:rsidRDefault="00A93548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59E7" w14:textId="36A4B810" w:rsidR="007E6B96" w:rsidRPr="007E6B96" w:rsidRDefault="00DC7456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4E5B48DB" wp14:editId="71A08895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6B96" w:rsidRPr="007E6B96">
      <w:rPr>
        <w:bCs/>
        <w:sz w:val="24"/>
      </w:rPr>
      <w:t xml:space="preserve"> </w:t>
    </w:r>
  </w:p>
  <w:p w14:paraId="57C0D796" w14:textId="77777777" w:rsidR="007E6B96" w:rsidRDefault="007E6B96" w:rsidP="007E6B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307765"/>
    <w:multiLevelType w:val="hybridMultilevel"/>
    <w:tmpl w:val="52A6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BF0"/>
    <w:multiLevelType w:val="hybridMultilevel"/>
    <w:tmpl w:val="7F66CA1C"/>
    <w:lvl w:ilvl="0" w:tplc="8E086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994"/>
    <w:multiLevelType w:val="hybridMultilevel"/>
    <w:tmpl w:val="F4121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17721"/>
    <w:multiLevelType w:val="hybridMultilevel"/>
    <w:tmpl w:val="2068A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523AF"/>
    <w:multiLevelType w:val="hybridMultilevel"/>
    <w:tmpl w:val="DF9A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5F2C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96551"/>
    <w:multiLevelType w:val="hybridMultilevel"/>
    <w:tmpl w:val="215C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41391"/>
    <w:multiLevelType w:val="singleLevel"/>
    <w:tmpl w:val="060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62D607BA"/>
    <w:multiLevelType w:val="hybridMultilevel"/>
    <w:tmpl w:val="A2BCADEE"/>
    <w:lvl w:ilvl="0" w:tplc="047C6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6307"/>
    <w:multiLevelType w:val="hybridMultilevel"/>
    <w:tmpl w:val="61F8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6">
    <w:nsid w:val="7C325F05"/>
    <w:multiLevelType w:val="hybridMultilevel"/>
    <w:tmpl w:val="40F0C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E106EE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7"/>
  </w:num>
  <w:num w:numId="13">
    <w:abstractNumId w:val="16"/>
  </w:num>
  <w:num w:numId="14">
    <w:abstractNumId w:val="12"/>
    <w:lvlOverride w:ilvl="0">
      <w:startOverride w:val="1"/>
    </w:lvlOverride>
  </w:num>
  <w:num w:numId="15">
    <w:abstractNumId w:val="17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6"/>
    <w:rsid w:val="000808DE"/>
    <w:rsid w:val="00206B76"/>
    <w:rsid w:val="00265C5F"/>
    <w:rsid w:val="002C3BA9"/>
    <w:rsid w:val="002E7D39"/>
    <w:rsid w:val="003B220E"/>
    <w:rsid w:val="003F7381"/>
    <w:rsid w:val="0041156A"/>
    <w:rsid w:val="004C77A8"/>
    <w:rsid w:val="00516B71"/>
    <w:rsid w:val="00540488"/>
    <w:rsid w:val="00585388"/>
    <w:rsid w:val="005B2AE3"/>
    <w:rsid w:val="005C35F8"/>
    <w:rsid w:val="005D31DA"/>
    <w:rsid w:val="00612655"/>
    <w:rsid w:val="00632D58"/>
    <w:rsid w:val="00633C13"/>
    <w:rsid w:val="006362B0"/>
    <w:rsid w:val="00642F6F"/>
    <w:rsid w:val="006444B7"/>
    <w:rsid w:val="006478E7"/>
    <w:rsid w:val="006A1E2A"/>
    <w:rsid w:val="007D55F3"/>
    <w:rsid w:val="007E6B96"/>
    <w:rsid w:val="00824AE2"/>
    <w:rsid w:val="008525DB"/>
    <w:rsid w:val="009126FC"/>
    <w:rsid w:val="00923875"/>
    <w:rsid w:val="009647C3"/>
    <w:rsid w:val="0097182D"/>
    <w:rsid w:val="00991A0B"/>
    <w:rsid w:val="009E5B15"/>
    <w:rsid w:val="00A008E3"/>
    <w:rsid w:val="00A01979"/>
    <w:rsid w:val="00A62E36"/>
    <w:rsid w:val="00A86849"/>
    <w:rsid w:val="00A93548"/>
    <w:rsid w:val="00B27414"/>
    <w:rsid w:val="00B53E03"/>
    <w:rsid w:val="00BE4B75"/>
    <w:rsid w:val="00C2745E"/>
    <w:rsid w:val="00C83393"/>
    <w:rsid w:val="00D660DC"/>
    <w:rsid w:val="00D67C2C"/>
    <w:rsid w:val="00DB0565"/>
    <w:rsid w:val="00DC7456"/>
    <w:rsid w:val="00E227E9"/>
    <w:rsid w:val="00E61C8B"/>
    <w:rsid w:val="00E86BC6"/>
    <w:rsid w:val="00E948BB"/>
    <w:rsid w:val="00F1259E"/>
    <w:rsid w:val="00F432D9"/>
    <w:rsid w:val="00FD36DB"/>
    <w:rsid w:val="00FF17DF"/>
    <w:rsid w:val="00FF65A9"/>
    <w:rsid w:val="5AD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24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227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227E9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227E9"/>
    <w:pPr>
      <w:spacing w:before="280" w:after="119"/>
    </w:pPr>
    <w:rPr>
      <w:rFonts w:ascii="Times New Roman" w:hAnsi="Times New Roman"/>
      <w:szCs w:val="24"/>
    </w:rPr>
  </w:style>
  <w:style w:type="paragraph" w:customStyle="1" w:styleId="Domylnie">
    <w:name w:val="Domyślnie"/>
    <w:rsid w:val="00E227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227E9"/>
    <w:pPr>
      <w:widowControl/>
      <w:autoSpaceDE/>
    </w:pPr>
    <w:rPr>
      <w:rFonts w:ascii="Consolas" w:eastAsia="Calibri" w:hAnsi="Consolas" w:cs="Consolas"/>
      <w:sz w:val="21"/>
      <w:szCs w:val="21"/>
      <w:lang w:eastAsia="zh-CN"/>
    </w:rPr>
  </w:style>
  <w:style w:type="paragraph" w:styleId="Zwykytekst">
    <w:name w:val="Plain Text"/>
    <w:basedOn w:val="Normalny"/>
    <w:link w:val="ZwykytekstZnak"/>
    <w:unhideWhenUsed/>
    <w:rsid w:val="00E227E9"/>
    <w:pPr>
      <w:widowControl/>
      <w:suppressAutoHyphens w:val="0"/>
      <w:autoSpaceDE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227E9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7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7E9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227E9"/>
    <w:pPr>
      <w:suppressLineNumbers/>
      <w:autoSpaceDE/>
    </w:pPr>
    <w:rPr>
      <w:rFonts w:ascii="Times New Roman" w:eastAsia="Andale Sans UI" w:hAnsi="Times New Roman" w:cs="Times New Roman"/>
      <w:kern w:val="1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E9"/>
    <w:rPr>
      <w:rFonts w:ascii="Garamond" w:eastAsia="Times New Roman" w:hAnsi="Garamond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7E9"/>
    <w:rPr>
      <w:rFonts w:ascii="Garamond" w:eastAsia="Times New Roman" w:hAnsi="Garamond" w:cs="Calibri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27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27E9"/>
    <w:rPr>
      <w:rFonts w:ascii="Garamond" w:eastAsia="Times New Roman" w:hAnsi="Garamond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227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227E9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227E9"/>
    <w:pPr>
      <w:spacing w:before="280" w:after="119"/>
    </w:pPr>
    <w:rPr>
      <w:rFonts w:ascii="Times New Roman" w:hAnsi="Times New Roman"/>
      <w:szCs w:val="24"/>
    </w:rPr>
  </w:style>
  <w:style w:type="paragraph" w:customStyle="1" w:styleId="Domylnie">
    <w:name w:val="Domyślnie"/>
    <w:rsid w:val="00E227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227E9"/>
    <w:pPr>
      <w:widowControl/>
      <w:autoSpaceDE/>
    </w:pPr>
    <w:rPr>
      <w:rFonts w:ascii="Consolas" w:eastAsia="Calibri" w:hAnsi="Consolas" w:cs="Consolas"/>
      <w:sz w:val="21"/>
      <w:szCs w:val="21"/>
      <w:lang w:eastAsia="zh-CN"/>
    </w:rPr>
  </w:style>
  <w:style w:type="paragraph" w:styleId="Zwykytekst">
    <w:name w:val="Plain Text"/>
    <w:basedOn w:val="Normalny"/>
    <w:link w:val="ZwykytekstZnak"/>
    <w:unhideWhenUsed/>
    <w:rsid w:val="00E227E9"/>
    <w:pPr>
      <w:widowControl/>
      <w:suppressAutoHyphens w:val="0"/>
      <w:autoSpaceDE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227E9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7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7E9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227E9"/>
    <w:pPr>
      <w:suppressLineNumbers/>
      <w:autoSpaceDE/>
    </w:pPr>
    <w:rPr>
      <w:rFonts w:ascii="Times New Roman" w:eastAsia="Andale Sans UI" w:hAnsi="Times New Roman" w:cs="Times New Roman"/>
      <w:kern w:val="1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E9"/>
    <w:rPr>
      <w:rFonts w:ascii="Garamond" w:eastAsia="Times New Roman" w:hAnsi="Garamond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7E9"/>
    <w:rPr>
      <w:rFonts w:ascii="Garamond" w:eastAsia="Times New Roman" w:hAnsi="Garamond" w:cs="Calibri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27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27E9"/>
    <w:rPr>
      <w:rFonts w:ascii="Garamond" w:eastAsia="Times New Roman" w:hAnsi="Garamond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A8EB0-2165-4A4D-85B9-01CFE6EDE470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6c23b8e9-3597-4768-a0fd-6f60cedd4a0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50eaf5a-7c24-4796-a8bc-84c0a7fdb5b5"/>
  </ds:schemaRefs>
</ds:datastoreItem>
</file>

<file path=customXml/itemProps2.xml><?xml version="1.0" encoding="utf-8"?>
<ds:datastoreItem xmlns:ds="http://schemas.openxmlformats.org/officeDocument/2006/customXml" ds:itemID="{2904A438-543A-4EA1-9053-4E746EBF4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4267E-6A00-43EE-AF50-FA073D85C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203F0-6026-477B-AD49-069D4B73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2240</Words>
  <Characters>13444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Agata Gabrielska</cp:lastModifiedBy>
  <cp:revision>2</cp:revision>
  <dcterms:created xsi:type="dcterms:W3CDTF">2018-04-27T11:26:00Z</dcterms:created>
  <dcterms:modified xsi:type="dcterms:W3CDTF">2018-04-27T11:26:00Z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